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B4F" w:rsidRDefault="00FB4109" w:rsidP="00E35188">
      <w:pPr>
        <w:jc w:val="center"/>
      </w:pPr>
      <w:bookmarkStart w:id="0" w:name="_GoBack"/>
      <w:bookmarkEnd w:id="0"/>
      <w:r>
        <w:t>Attachment 1</w:t>
      </w:r>
    </w:p>
    <w:p w:rsidR="00E35188" w:rsidRDefault="00E35188" w:rsidP="00E90D77">
      <w:pPr>
        <w:jc w:val="center"/>
      </w:pPr>
      <w:r w:rsidRPr="00E35188">
        <w:t xml:space="preserve">Global Harmonization System (GHS) for Chemical Labelling </w:t>
      </w:r>
      <w:proofErr w:type="spellStart"/>
      <w:r w:rsidRPr="00E35188">
        <w:t>SmartForm</w:t>
      </w:r>
      <w:proofErr w:type="spellEnd"/>
    </w:p>
    <w:p w:rsidR="00FB4109" w:rsidRDefault="00FB4109" w:rsidP="00E90D77">
      <w:pPr>
        <w:jc w:val="center"/>
      </w:pPr>
      <w:r w:rsidRPr="00FB4109">
        <w:t xml:space="preserve">Industry Input </w:t>
      </w:r>
      <w:r>
        <w:t>–</w:t>
      </w:r>
      <w:r w:rsidRPr="00FB4109">
        <w:t xml:space="preserve"> </w:t>
      </w:r>
      <w:r w:rsidR="001D6395" w:rsidRPr="001D6395">
        <w:t xml:space="preserve">Consumer Products </w:t>
      </w:r>
      <w:r w:rsidR="001D6395">
        <w:t>(</w:t>
      </w:r>
      <w:r w:rsidRPr="00FB4109">
        <w:t>CPS</w:t>
      </w:r>
      <w:r w:rsidR="001D6395">
        <w:t>)</w:t>
      </w:r>
    </w:p>
    <w:p w:rsidR="00FB4109" w:rsidRDefault="00FB4109"/>
    <w:p w:rsidR="00FB4109" w:rsidRDefault="00FB4109" w:rsidP="00FB4109">
      <w:proofErr w:type="spellStart"/>
      <w:r>
        <w:t>Organisation</w:t>
      </w:r>
      <w:proofErr w:type="spellEnd"/>
      <w:r>
        <w:t>/Agency: API</w:t>
      </w:r>
    </w:p>
    <w:p w:rsidR="00FB4109" w:rsidRDefault="00FB4109" w:rsidP="00FB4109">
      <w:r>
        <w:t>Name: Derek Swick</w:t>
      </w:r>
    </w:p>
    <w:p w:rsidR="00FB4109" w:rsidRDefault="00FB4109" w:rsidP="00FB4109">
      <w:r>
        <w:t xml:space="preserve">Phone number: </w:t>
      </w:r>
      <w:r w:rsidRPr="006921A9">
        <w:t>+1 202 682 8341</w:t>
      </w:r>
    </w:p>
    <w:p w:rsidR="00FB4109" w:rsidRDefault="00FB4109" w:rsidP="00FB4109">
      <w:r>
        <w:t xml:space="preserve">Email address: </w:t>
      </w:r>
      <w:r w:rsidRPr="006921A9">
        <w:t>swickd@api.org</w:t>
      </w:r>
    </w:p>
    <w:p w:rsidR="00FB4109" w:rsidRDefault="00FB41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2"/>
      </w:tblGrid>
      <w:tr w:rsidR="00FB4109" w:rsidRPr="00FB4109" w:rsidTr="00EA12CF">
        <w:tc>
          <w:tcPr>
            <w:tcW w:w="9242" w:type="dxa"/>
          </w:tcPr>
          <w:p w:rsidR="00FB4109" w:rsidRPr="00FB4109" w:rsidRDefault="00FB4109" w:rsidP="00FB4109">
            <w:pPr>
              <w:rPr>
                <w:rFonts w:ascii="Arial" w:eastAsia="Calibri" w:hAnsi="Arial" w:cs="Arial"/>
                <w:sz w:val="20"/>
                <w:szCs w:val="20"/>
              </w:rPr>
            </w:pPr>
            <w:r w:rsidRPr="00FB4109">
              <w:rPr>
                <w:rFonts w:ascii="Arial" w:eastAsia="Calibri" w:hAnsi="Arial" w:cs="Arial"/>
                <w:sz w:val="20"/>
                <w:szCs w:val="20"/>
              </w:rPr>
              <w:t xml:space="preserve">Has it been easy to access all necessary information for compliance? </w:t>
            </w:r>
          </w:p>
        </w:tc>
      </w:tr>
      <w:tr w:rsidR="00FB4109" w:rsidRPr="00FB4109" w:rsidTr="00EA12CF">
        <w:tc>
          <w:tcPr>
            <w:tcW w:w="9242" w:type="dxa"/>
          </w:tcPr>
          <w:p w:rsidR="00FB4109" w:rsidRPr="00FB4109" w:rsidRDefault="00FB4109" w:rsidP="00FB4109">
            <w:pPr>
              <w:rPr>
                <w:rFonts w:ascii="Arial" w:eastAsia="Calibri" w:hAnsi="Arial" w:cs="Arial"/>
                <w:b/>
                <w:sz w:val="20"/>
                <w:szCs w:val="20"/>
                <w:u w:val="single"/>
              </w:rPr>
            </w:pPr>
            <w:r w:rsidRPr="00FB4109">
              <w:rPr>
                <w:rFonts w:ascii="Arial" w:eastAsia="Calibri" w:hAnsi="Arial" w:cs="Arial"/>
                <w:b/>
                <w:sz w:val="20"/>
                <w:szCs w:val="20"/>
                <w:u w:val="single"/>
              </w:rPr>
              <w:t>U.S. Issues</w:t>
            </w:r>
          </w:p>
          <w:p w:rsidR="00FB4109" w:rsidRPr="00FB4109" w:rsidRDefault="00FB4109" w:rsidP="00FB4109">
            <w:pPr>
              <w:rPr>
                <w:rFonts w:ascii="Arial" w:eastAsia="Calibri" w:hAnsi="Arial" w:cs="Arial"/>
                <w:sz w:val="20"/>
                <w:szCs w:val="20"/>
              </w:rPr>
            </w:pPr>
            <w:r w:rsidRPr="00FB4109">
              <w:rPr>
                <w:rFonts w:ascii="Arial" w:eastAsia="Calibri" w:hAnsi="Arial" w:cs="Arial"/>
                <w:sz w:val="20"/>
                <w:szCs w:val="20"/>
              </w:rPr>
              <w:t>The GHS has not yet been implemented by the CPSC in the U.S. for consumer products. Information on the progress/status is not readily available to stakeholders. CPSC revised their definition of “strong sensitizer,” but the accompanying staff guidance document was not easy to access and has not yet been updated to consider comments received.</w:t>
            </w:r>
          </w:p>
          <w:p w:rsidR="00FB4109" w:rsidRPr="00FB4109" w:rsidRDefault="00FB4109" w:rsidP="00FB4109">
            <w:pPr>
              <w:rPr>
                <w:rFonts w:ascii="Arial" w:eastAsia="Calibri" w:hAnsi="Arial" w:cs="Arial"/>
                <w:sz w:val="20"/>
                <w:szCs w:val="20"/>
              </w:rPr>
            </w:pPr>
          </w:p>
          <w:p w:rsidR="00FB4109" w:rsidRPr="00FB4109" w:rsidRDefault="00FB4109" w:rsidP="00FB4109">
            <w:pPr>
              <w:rPr>
                <w:rFonts w:ascii="Arial" w:eastAsia="Calibri" w:hAnsi="Arial" w:cs="Arial"/>
                <w:sz w:val="20"/>
                <w:szCs w:val="20"/>
              </w:rPr>
            </w:pPr>
            <w:r w:rsidRPr="00FB4109">
              <w:rPr>
                <w:rFonts w:ascii="Arial" w:eastAsia="Calibri" w:hAnsi="Arial" w:cs="Arial"/>
                <w:sz w:val="20"/>
                <w:szCs w:val="20"/>
              </w:rPr>
              <w:t xml:space="preserve">OSHA published a letter of interpretation stating that OSHA may consider the CPSC or any other agency-required label information as </w:t>
            </w:r>
            <w:proofErr w:type="spellStart"/>
            <w:r w:rsidRPr="00FB4109">
              <w:rPr>
                <w:rFonts w:ascii="Arial" w:eastAsia="Calibri" w:hAnsi="Arial" w:cs="Arial"/>
                <w:sz w:val="20"/>
                <w:szCs w:val="20"/>
              </w:rPr>
              <w:t>HazCom</w:t>
            </w:r>
            <w:proofErr w:type="spellEnd"/>
            <w:r w:rsidRPr="00FB4109">
              <w:rPr>
                <w:rFonts w:ascii="Arial" w:eastAsia="Calibri" w:hAnsi="Arial" w:cs="Arial"/>
                <w:sz w:val="20"/>
                <w:szCs w:val="20"/>
              </w:rPr>
              <w:t xml:space="preserve"> 2012 supplemental label information and provided clarification on including this type </w:t>
            </w:r>
            <w:proofErr w:type="spellStart"/>
            <w:r w:rsidRPr="00FB4109">
              <w:rPr>
                <w:rFonts w:ascii="Arial" w:eastAsia="Calibri" w:hAnsi="Arial" w:cs="Arial"/>
                <w:sz w:val="20"/>
                <w:szCs w:val="20"/>
              </w:rPr>
              <w:t>HazCom</w:t>
            </w:r>
            <w:proofErr w:type="spellEnd"/>
            <w:r w:rsidRPr="00FB4109">
              <w:rPr>
                <w:rFonts w:ascii="Arial" w:eastAsia="Calibri" w:hAnsi="Arial" w:cs="Arial"/>
                <w:sz w:val="20"/>
                <w:szCs w:val="20"/>
              </w:rPr>
              <w:t xml:space="preserve"> 2012 supplemental information on labels. CPSC has not made its position on CPSC/FHSA and </w:t>
            </w:r>
            <w:proofErr w:type="spellStart"/>
            <w:r w:rsidRPr="00FB4109">
              <w:rPr>
                <w:rFonts w:ascii="Arial" w:eastAsia="Calibri" w:hAnsi="Arial" w:cs="Arial"/>
                <w:sz w:val="20"/>
                <w:szCs w:val="20"/>
              </w:rPr>
              <w:t>HazCom</w:t>
            </w:r>
            <w:proofErr w:type="spellEnd"/>
            <w:r w:rsidRPr="00FB4109">
              <w:rPr>
                <w:rFonts w:ascii="Arial" w:eastAsia="Calibri" w:hAnsi="Arial" w:cs="Arial"/>
                <w:sz w:val="20"/>
                <w:szCs w:val="20"/>
              </w:rPr>
              <w:t xml:space="preserve"> 2012 dual labeling readily available.</w:t>
            </w:r>
          </w:p>
          <w:p w:rsidR="00FB4109" w:rsidRPr="00FB4109" w:rsidRDefault="00FB4109" w:rsidP="00FB4109">
            <w:pPr>
              <w:rPr>
                <w:rFonts w:ascii="Arial" w:eastAsia="Calibri" w:hAnsi="Arial" w:cs="Arial"/>
                <w:sz w:val="20"/>
                <w:szCs w:val="20"/>
              </w:rPr>
            </w:pPr>
          </w:p>
          <w:p w:rsidR="00FB4109" w:rsidRPr="00FB4109" w:rsidRDefault="00FB4109" w:rsidP="00FB4109">
            <w:pPr>
              <w:rPr>
                <w:rFonts w:ascii="Arial" w:eastAsia="Calibri" w:hAnsi="Arial" w:cs="Arial"/>
                <w:b/>
                <w:sz w:val="20"/>
                <w:szCs w:val="20"/>
                <w:u w:val="single"/>
              </w:rPr>
            </w:pPr>
            <w:r w:rsidRPr="00FB4109">
              <w:rPr>
                <w:rFonts w:ascii="Arial" w:eastAsia="Calibri" w:hAnsi="Arial" w:cs="Arial"/>
                <w:b/>
                <w:sz w:val="20"/>
                <w:szCs w:val="20"/>
                <w:u w:val="single"/>
              </w:rPr>
              <w:t>Global Issues:</w:t>
            </w:r>
          </w:p>
          <w:p w:rsidR="00FB4109" w:rsidRPr="00FB4109" w:rsidRDefault="00FB4109" w:rsidP="00FB4109">
            <w:pPr>
              <w:rPr>
                <w:rFonts w:ascii="Arial" w:eastAsia="Calibri" w:hAnsi="Arial" w:cs="Arial"/>
                <w:sz w:val="20"/>
                <w:szCs w:val="20"/>
                <w:lang w:val="en-AU"/>
              </w:rPr>
            </w:pPr>
            <w:r w:rsidRPr="00FB4109">
              <w:rPr>
                <w:rFonts w:ascii="Arial" w:eastAsia="Calibri" w:hAnsi="Arial" w:cs="Arial"/>
                <w:sz w:val="20"/>
                <w:szCs w:val="20"/>
                <w:lang w:val="en-AU"/>
              </w:rPr>
              <w:t xml:space="preserve">It is not always possible to keep up to date and find the necessary GHS compliance information from some APEC economies. Also, it is not always easy to understand which sectors are covered by the implementing regulations/legislation/standards. Some countries/economies have restricted access to regulations, information and/or websites to domestic companies only. This is contrary to the objectives of the GHS. </w:t>
            </w:r>
          </w:p>
          <w:p w:rsidR="00FB4109" w:rsidRPr="00FB4109" w:rsidRDefault="00FB4109" w:rsidP="00FB4109">
            <w:pPr>
              <w:rPr>
                <w:rFonts w:ascii="Arial" w:eastAsia="Calibri" w:hAnsi="Arial" w:cs="Arial"/>
                <w:sz w:val="20"/>
                <w:szCs w:val="20"/>
                <w:lang w:val="en-AU"/>
              </w:rPr>
            </w:pPr>
          </w:p>
          <w:p w:rsidR="00FB4109" w:rsidRPr="00FB4109" w:rsidRDefault="00FB4109" w:rsidP="00FB4109">
            <w:pPr>
              <w:rPr>
                <w:rFonts w:ascii="Arial" w:eastAsia="Calibri" w:hAnsi="Arial" w:cs="Arial"/>
                <w:sz w:val="20"/>
                <w:szCs w:val="20"/>
                <w:lang w:val="en-AU"/>
              </w:rPr>
            </w:pPr>
            <w:r w:rsidRPr="00FB4109">
              <w:rPr>
                <w:rFonts w:ascii="Arial" w:eastAsia="Calibri" w:hAnsi="Arial" w:cs="Arial"/>
                <w:sz w:val="20"/>
                <w:szCs w:val="20"/>
                <w:lang w:val="en-AU"/>
              </w:rPr>
              <w:t>Even when the regulations/legislation/standards are available, all of the information that is required for compliance is not always specified. For example, the GHS includes several options for mixture cut-off values and some countries include all options without specifying which is appropriate for compliance.</w:t>
            </w:r>
          </w:p>
          <w:p w:rsidR="00FB4109" w:rsidRPr="00FB4109" w:rsidRDefault="00FB4109" w:rsidP="00FB4109">
            <w:pPr>
              <w:rPr>
                <w:rFonts w:ascii="Arial" w:eastAsia="Calibri" w:hAnsi="Arial" w:cs="Arial"/>
                <w:sz w:val="20"/>
                <w:szCs w:val="20"/>
                <w:lang w:val="en-AU"/>
              </w:rPr>
            </w:pPr>
          </w:p>
          <w:p w:rsidR="00FB4109" w:rsidRPr="00FB4109" w:rsidRDefault="00FB4109" w:rsidP="00FB4109">
            <w:pPr>
              <w:rPr>
                <w:rFonts w:ascii="Arial" w:eastAsia="Calibri" w:hAnsi="Arial" w:cs="Arial"/>
                <w:sz w:val="20"/>
                <w:szCs w:val="20"/>
                <w:lang w:val="en-AU"/>
              </w:rPr>
            </w:pPr>
            <w:r w:rsidRPr="00FB4109">
              <w:rPr>
                <w:rFonts w:ascii="Arial" w:eastAsia="Calibri" w:hAnsi="Arial" w:cs="Arial"/>
                <w:sz w:val="20"/>
                <w:szCs w:val="20"/>
                <w:lang w:val="en-AU"/>
              </w:rPr>
              <w:t xml:space="preserve">Sometimes implementation dates are published, but the related implementing regulations are not yet finalized, or the regulations are finalized but the transition period and implementation dates are not clear. </w:t>
            </w:r>
            <w:r w:rsidRPr="00FB4109">
              <w:rPr>
                <w:rFonts w:ascii="Arial" w:eastAsia="Calibri" w:hAnsi="Arial" w:cs="Arial"/>
                <w:sz w:val="20"/>
                <w:szCs w:val="20"/>
              </w:rPr>
              <w:t>Only the EU CLP has a clear schedule for implementing updates to the GHS via their ATP process.</w:t>
            </w:r>
          </w:p>
          <w:p w:rsidR="00FB4109" w:rsidRPr="00FB4109" w:rsidRDefault="00FB4109" w:rsidP="00FB4109">
            <w:pPr>
              <w:rPr>
                <w:rFonts w:ascii="Arial" w:eastAsia="Calibri" w:hAnsi="Arial" w:cs="Arial"/>
                <w:b/>
                <w:sz w:val="20"/>
                <w:szCs w:val="20"/>
              </w:rPr>
            </w:pPr>
          </w:p>
        </w:tc>
      </w:tr>
      <w:tr w:rsidR="00FB4109" w:rsidRPr="00FB4109" w:rsidTr="00EA12CF">
        <w:tc>
          <w:tcPr>
            <w:tcW w:w="9242" w:type="dxa"/>
          </w:tcPr>
          <w:p w:rsidR="00FB4109" w:rsidRPr="00FB4109" w:rsidRDefault="00FB4109" w:rsidP="00FB4109">
            <w:pPr>
              <w:rPr>
                <w:rFonts w:ascii="Arial" w:eastAsia="Calibri" w:hAnsi="Arial" w:cs="Arial"/>
                <w:sz w:val="20"/>
                <w:szCs w:val="20"/>
              </w:rPr>
            </w:pPr>
            <w:r w:rsidRPr="00FB4109">
              <w:rPr>
                <w:rFonts w:ascii="Arial" w:eastAsia="Calibri" w:hAnsi="Arial" w:cs="Arial"/>
                <w:sz w:val="20"/>
                <w:szCs w:val="20"/>
              </w:rPr>
              <w:t>Do you see any specific issues that are limiting the progress of GHS implementation?</w:t>
            </w:r>
          </w:p>
        </w:tc>
      </w:tr>
      <w:tr w:rsidR="00FB4109" w:rsidRPr="00FB4109" w:rsidTr="00EA12CF">
        <w:tc>
          <w:tcPr>
            <w:tcW w:w="9242" w:type="dxa"/>
          </w:tcPr>
          <w:p w:rsidR="00FB4109" w:rsidRPr="00FB4109" w:rsidRDefault="00FB4109" w:rsidP="00FB4109">
            <w:pPr>
              <w:rPr>
                <w:rFonts w:ascii="Arial" w:eastAsia="Calibri" w:hAnsi="Arial" w:cs="Arial"/>
                <w:b/>
                <w:sz w:val="20"/>
                <w:szCs w:val="20"/>
                <w:u w:val="single"/>
              </w:rPr>
            </w:pPr>
            <w:r w:rsidRPr="00FB4109">
              <w:rPr>
                <w:rFonts w:ascii="Arial" w:eastAsia="Calibri" w:hAnsi="Arial" w:cs="Arial"/>
                <w:b/>
                <w:sz w:val="20"/>
                <w:szCs w:val="20"/>
                <w:u w:val="single"/>
              </w:rPr>
              <w:t>U.S. Issues</w:t>
            </w:r>
          </w:p>
          <w:p w:rsidR="00FB4109" w:rsidRPr="00FB4109" w:rsidRDefault="00FB4109" w:rsidP="00FB4109">
            <w:pPr>
              <w:numPr>
                <w:ilvl w:val="0"/>
                <w:numId w:val="1"/>
              </w:numPr>
              <w:spacing w:after="200" w:line="276" w:lineRule="auto"/>
              <w:rPr>
                <w:rFonts w:ascii="Arial" w:eastAsia="Calibri" w:hAnsi="Arial" w:cs="Arial"/>
                <w:sz w:val="20"/>
                <w:szCs w:val="20"/>
              </w:rPr>
            </w:pPr>
            <w:r w:rsidRPr="00FB4109">
              <w:rPr>
                <w:rFonts w:ascii="Arial" w:eastAsia="Calibri" w:hAnsi="Arial" w:cs="Arial"/>
                <w:sz w:val="20"/>
                <w:szCs w:val="20"/>
                <w:lang w:val="en-AU"/>
              </w:rPr>
              <w:t xml:space="preserve">For consumer products, the use of </w:t>
            </w:r>
            <w:r w:rsidRPr="00FB4109">
              <w:rPr>
                <w:rFonts w:ascii="Arial" w:eastAsia="Calibri" w:hAnsi="Arial" w:cs="Arial"/>
                <w:sz w:val="20"/>
                <w:szCs w:val="20"/>
              </w:rPr>
              <w:t>risk-based labeling for chronic effects could be an implementation issue. CPSC’s revised definition of “strong sensitizer” does not use risk in a manner that is consistent with the GHS.</w:t>
            </w:r>
          </w:p>
          <w:p w:rsidR="00FB4109" w:rsidRPr="00FB4109" w:rsidRDefault="00FB4109" w:rsidP="00FB4109">
            <w:pPr>
              <w:numPr>
                <w:ilvl w:val="0"/>
                <w:numId w:val="1"/>
              </w:numPr>
              <w:spacing w:after="200" w:line="276" w:lineRule="auto"/>
              <w:rPr>
                <w:rFonts w:ascii="Arial" w:eastAsia="Calibri" w:hAnsi="Arial" w:cs="Arial"/>
                <w:sz w:val="20"/>
                <w:szCs w:val="20"/>
                <w:lang w:val="en-AU"/>
              </w:rPr>
            </w:pPr>
            <w:r w:rsidRPr="00FB4109">
              <w:rPr>
                <w:rFonts w:ascii="Arial" w:eastAsia="Calibri" w:hAnsi="Arial" w:cs="Arial"/>
                <w:sz w:val="20"/>
                <w:szCs w:val="20"/>
                <w:lang w:val="en-AU"/>
              </w:rPr>
              <w:t xml:space="preserve">To achieve the goal of harmonization and reap the associated benefits, governments should align with the GHS as negotiated and seek to implement it in a manner that minimizes differences among countries. </w:t>
            </w:r>
          </w:p>
          <w:p w:rsidR="00FB4109" w:rsidRPr="00FB4109" w:rsidRDefault="00FB4109" w:rsidP="00FB4109">
            <w:pPr>
              <w:numPr>
                <w:ilvl w:val="0"/>
                <w:numId w:val="1"/>
              </w:numPr>
              <w:spacing w:after="200" w:line="276" w:lineRule="auto"/>
              <w:rPr>
                <w:rFonts w:ascii="Arial" w:eastAsia="Calibri" w:hAnsi="Arial" w:cs="Arial"/>
                <w:sz w:val="20"/>
                <w:szCs w:val="20"/>
              </w:rPr>
            </w:pPr>
            <w:r w:rsidRPr="00FB4109">
              <w:rPr>
                <w:rFonts w:ascii="Arial" w:eastAsia="Calibri" w:hAnsi="Arial" w:cs="Arial"/>
                <w:sz w:val="20"/>
                <w:szCs w:val="20"/>
                <w:lang w:val="en-AU"/>
              </w:rPr>
              <w:t xml:space="preserve">Collaboration is needed among Coast Guard, EPA, CPSC, OSHA, and DOT.  DOT has essentially implemented the necessary changes to align with the GHS, and OSHA has published the final GHS rule.  However, EPA and CPSC are not making significant progress in implementing the GHS.  Although CPSC finalized a revised definition of strong sensitizer, CPSC has stated that GHS implementation is on hold due to other priorities. The IMO activities related to SDSs do not </w:t>
            </w:r>
            <w:r w:rsidRPr="00FB4109">
              <w:rPr>
                <w:rFonts w:ascii="Arial" w:eastAsia="Calibri" w:hAnsi="Arial" w:cs="Arial"/>
                <w:sz w:val="20"/>
                <w:szCs w:val="20"/>
                <w:lang w:val="en-AU"/>
              </w:rPr>
              <w:lastRenderedPageBreak/>
              <w:t>promote global harmonization and a consistent SDS format.</w:t>
            </w:r>
            <w:r w:rsidRPr="00FB4109">
              <w:rPr>
                <w:rFonts w:ascii="Calibri" w:eastAsia="Calibri" w:hAnsi="Calibri" w:cs="Times New Roman"/>
                <w:lang w:val="en-AU"/>
              </w:rPr>
              <w:t xml:space="preserve"> </w:t>
            </w:r>
            <w:r w:rsidRPr="00FB4109">
              <w:rPr>
                <w:rFonts w:ascii="Arial" w:eastAsia="Calibri" w:hAnsi="Arial" w:cs="Arial"/>
                <w:sz w:val="20"/>
                <w:szCs w:val="20"/>
                <w:lang w:val="en-AU"/>
              </w:rPr>
              <w:t xml:space="preserve">Currently, the Coast Guard regulations reference the OSHA </w:t>
            </w:r>
            <w:proofErr w:type="spellStart"/>
            <w:r w:rsidRPr="00FB4109">
              <w:rPr>
                <w:rFonts w:ascii="Arial" w:eastAsia="Calibri" w:hAnsi="Arial" w:cs="Arial"/>
                <w:sz w:val="20"/>
                <w:szCs w:val="20"/>
                <w:lang w:val="en-AU"/>
              </w:rPr>
              <w:t>HazCom</w:t>
            </w:r>
            <w:proofErr w:type="spellEnd"/>
            <w:r w:rsidRPr="00FB4109">
              <w:rPr>
                <w:rFonts w:ascii="Arial" w:eastAsia="Calibri" w:hAnsi="Arial" w:cs="Arial"/>
                <w:sz w:val="20"/>
                <w:szCs w:val="20"/>
                <w:lang w:val="en-AU"/>
              </w:rPr>
              <w:t xml:space="preserve"> 2012 SDS and the SOLAS MSDS as defined by </w:t>
            </w:r>
            <w:proofErr w:type="gramStart"/>
            <w:r w:rsidRPr="00FB4109">
              <w:rPr>
                <w:rFonts w:ascii="Arial" w:eastAsia="Calibri" w:hAnsi="Arial" w:cs="Arial"/>
                <w:sz w:val="20"/>
                <w:szCs w:val="20"/>
                <w:lang w:val="en-AU"/>
              </w:rPr>
              <w:t>MSC.286(</w:t>
            </w:r>
            <w:proofErr w:type="gramEnd"/>
            <w:r w:rsidRPr="00FB4109">
              <w:rPr>
                <w:rFonts w:ascii="Arial" w:eastAsia="Calibri" w:hAnsi="Arial" w:cs="Arial"/>
                <w:sz w:val="20"/>
                <w:szCs w:val="20"/>
                <w:lang w:val="en-AU"/>
              </w:rPr>
              <w:t>86).  If the US Coast Guard decides to incorporate SDSs requirements into their regulations, they should consult with OSHA to ensure that the SDS format and content is harmonized with OSHA and the GHS.</w:t>
            </w:r>
          </w:p>
          <w:p w:rsidR="00FB4109" w:rsidRPr="00FB4109" w:rsidRDefault="00FB4109" w:rsidP="00FB4109">
            <w:pPr>
              <w:numPr>
                <w:ilvl w:val="0"/>
                <w:numId w:val="1"/>
              </w:numPr>
              <w:spacing w:after="200" w:line="276" w:lineRule="auto"/>
              <w:rPr>
                <w:rFonts w:ascii="Arial" w:eastAsia="Calibri" w:hAnsi="Arial" w:cs="Arial"/>
                <w:sz w:val="20"/>
                <w:szCs w:val="20"/>
              </w:rPr>
            </w:pPr>
            <w:r w:rsidRPr="00FB4109">
              <w:rPr>
                <w:rFonts w:ascii="Arial" w:eastAsia="Calibri" w:hAnsi="Arial" w:cs="Arial"/>
                <w:sz w:val="20"/>
                <w:szCs w:val="20"/>
              </w:rPr>
              <w:t>While</w:t>
            </w:r>
            <w:r w:rsidRPr="00FB4109">
              <w:rPr>
                <w:rFonts w:ascii="Calibri" w:eastAsia="Calibri" w:hAnsi="Calibri" w:cs="Times New Roman"/>
                <w:lang w:val="en-AU"/>
              </w:rPr>
              <w:t xml:space="preserve"> </w:t>
            </w:r>
            <w:r w:rsidRPr="00FB4109">
              <w:rPr>
                <w:rFonts w:ascii="Arial" w:eastAsia="Calibri" w:hAnsi="Arial" w:cs="Arial"/>
                <w:sz w:val="20"/>
                <w:szCs w:val="20"/>
              </w:rPr>
              <w:t xml:space="preserve">CPSC revised their definition of “strong sensitizer,” the definition, and suggested label elements are not aligned with the GHS/OSHA </w:t>
            </w:r>
            <w:proofErr w:type="spellStart"/>
            <w:r w:rsidRPr="00FB4109">
              <w:rPr>
                <w:rFonts w:ascii="Arial" w:eastAsia="Calibri" w:hAnsi="Arial" w:cs="Arial"/>
                <w:sz w:val="20"/>
                <w:szCs w:val="20"/>
              </w:rPr>
              <w:t>HazCom</w:t>
            </w:r>
            <w:proofErr w:type="spellEnd"/>
            <w:r w:rsidRPr="00FB4109">
              <w:rPr>
                <w:rFonts w:ascii="Arial" w:eastAsia="Calibri" w:hAnsi="Arial" w:cs="Arial"/>
                <w:sz w:val="20"/>
                <w:szCs w:val="20"/>
              </w:rPr>
              <w:t xml:space="preserve"> 2012. Although the revised “strong sensitizer” definition became effective on March 17, 2014, the “strong sensitizer” staff guidance document has not yet been updated to consider comments received during the rule making.</w:t>
            </w:r>
          </w:p>
          <w:p w:rsidR="00FB4109" w:rsidRPr="00FB4109" w:rsidRDefault="00FB4109" w:rsidP="00FB4109">
            <w:pPr>
              <w:rPr>
                <w:rFonts w:ascii="Arial" w:eastAsia="Calibri" w:hAnsi="Arial" w:cs="Arial"/>
                <w:b/>
                <w:sz w:val="20"/>
                <w:szCs w:val="20"/>
              </w:rPr>
            </w:pPr>
          </w:p>
        </w:tc>
      </w:tr>
      <w:tr w:rsidR="00FB4109" w:rsidRPr="00FB4109" w:rsidTr="00EA12CF">
        <w:tc>
          <w:tcPr>
            <w:tcW w:w="9242" w:type="dxa"/>
          </w:tcPr>
          <w:p w:rsidR="00FB4109" w:rsidRPr="00FB4109" w:rsidRDefault="00FB4109" w:rsidP="00FB4109">
            <w:pPr>
              <w:rPr>
                <w:rFonts w:ascii="Arial" w:eastAsia="Calibri" w:hAnsi="Arial" w:cs="Arial"/>
                <w:sz w:val="20"/>
                <w:szCs w:val="20"/>
              </w:rPr>
            </w:pPr>
            <w:r w:rsidRPr="00FB4109">
              <w:rPr>
                <w:rFonts w:ascii="Arial" w:eastAsia="Calibri" w:hAnsi="Arial" w:cs="Arial"/>
                <w:sz w:val="20"/>
                <w:szCs w:val="20"/>
              </w:rPr>
              <w:lastRenderedPageBreak/>
              <w:t>What are the expected costs for industry in the implementation of GHS?</w:t>
            </w:r>
          </w:p>
        </w:tc>
      </w:tr>
      <w:tr w:rsidR="00FB4109" w:rsidRPr="00FB4109" w:rsidTr="00EA12CF">
        <w:tc>
          <w:tcPr>
            <w:tcW w:w="9242" w:type="dxa"/>
          </w:tcPr>
          <w:p w:rsidR="00FB4109" w:rsidRPr="00FB4109" w:rsidRDefault="00FB4109" w:rsidP="00FB4109">
            <w:pPr>
              <w:rPr>
                <w:rFonts w:ascii="Arial" w:eastAsia="Calibri" w:hAnsi="Arial" w:cs="Arial"/>
                <w:sz w:val="20"/>
                <w:szCs w:val="20"/>
                <w:lang w:val="en-AU"/>
              </w:rPr>
            </w:pPr>
            <w:r w:rsidRPr="00FB4109">
              <w:rPr>
                <w:rFonts w:ascii="Arial" w:eastAsia="Calibri" w:hAnsi="Arial" w:cs="Arial"/>
                <w:sz w:val="20"/>
                <w:szCs w:val="20"/>
                <w:lang w:val="en-AU"/>
              </w:rPr>
              <w:t>It is expected that initial implementation costs for industry will be significant. If harmonization is achieved, then cost savings can be realized in the future.</w:t>
            </w:r>
          </w:p>
          <w:p w:rsidR="00FB4109" w:rsidRPr="00FB4109" w:rsidRDefault="00FB4109" w:rsidP="00FB4109">
            <w:pPr>
              <w:rPr>
                <w:rFonts w:ascii="Arial" w:eastAsia="Calibri" w:hAnsi="Arial" w:cs="Arial"/>
                <w:sz w:val="20"/>
                <w:szCs w:val="20"/>
                <w:lang w:val="en-AU"/>
              </w:rPr>
            </w:pPr>
          </w:p>
          <w:p w:rsidR="00FB4109" w:rsidRPr="00FB4109" w:rsidRDefault="00FB4109" w:rsidP="00FB4109">
            <w:pPr>
              <w:rPr>
                <w:rFonts w:ascii="Arial" w:eastAsia="Calibri" w:hAnsi="Arial" w:cs="Arial"/>
                <w:sz w:val="20"/>
                <w:szCs w:val="20"/>
                <w:lang w:val="en-AU"/>
              </w:rPr>
            </w:pPr>
            <w:r w:rsidRPr="00FB4109">
              <w:rPr>
                <w:rFonts w:ascii="Arial" w:eastAsia="Calibri" w:hAnsi="Arial" w:cs="Arial"/>
                <w:sz w:val="20"/>
                <w:szCs w:val="20"/>
                <w:lang w:val="en-AU"/>
              </w:rPr>
              <w:t>Costs for industry can be reduced by the following:</w:t>
            </w:r>
          </w:p>
          <w:p w:rsidR="00FB4109" w:rsidRPr="00FB4109" w:rsidRDefault="00FB4109" w:rsidP="00FB4109">
            <w:pPr>
              <w:numPr>
                <w:ilvl w:val="0"/>
                <w:numId w:val="1"/>
              </w:numPr>
              <w:spacing w:after="200" w:line="276" w:lineRule="auto"/>
              <w:rPr>
                <w:rFonts w:ascii="Arial" w:eastAsia="Calibri" w:hAnsi="Arial" w:cs="Arial"/>
                <w:sz w:val="20"/>
                <w:szCs w:val="20"/>
                <w:lang w:val="en-AU"/>
              </w:rPr>
            </w:pPr>
            <w:r w:rsidRPr="00FB4109">
              <w:rPr>
                <w:rFonts w:ascii="Arial" w:eastAsia="Calibri" w:hAnsi="Arial" w:cs="Arial"/>
                <w:sz w:val="20"/>
                <w:szCs w:val="20"/>
                <w:lang w:val="en-AU"/>
              </w:rPr>
              <w:t>To achieve the goal of harmonization and reap the associated benefits, governments should align with the GHS as negotiated and seek to implement it in a manner that minimizes differences among countries.</w:t>
            </w:r>
          </w:p>
          <w:p w:rsidR="00FB4109" w:rsidRPr="00FB4109" w:rsidRDefault="00FB4109" w:rsidP="00FB4109">
            <w:pPr>
              <w:numPr>
                <w:ilvl w:val="0"/>
                <w:numId w:val="2"/>
              </w:numPr>
              <w:tabs>
                <w:tab w:val="num" w:pos="-2520"/>
              </w:tabs>
              <w:autoSpaceDE w:val="0"/>
              <w:autoSpaceDN w:val="0"/>
              <w:adjustRightInd w:val="0"/>
              <w:spacing w:after="200" w:line="276" w:lineRule="auto"/>
              <w:rPr>
                <w:rFonts w:ascii="Arial" w:eastAsia="Calibri" w:hAnsi="Arial" w:cs="Arial"/>
                <w:sz w:val="20"/>
                <w:szCs w:val="20"/>
              </w:rPr>
            </w:pPr>
            <w:r w:rsidRPr="00FB4109">
              <w:rPr>
                <w:rFonts w:ascii="Arial" w:eastAsia="Calibri" w:hAnsi="Arial" w:cs="Arial"/>
                <w:sz w:val="20"/>
                <w:szCs w:val="20"/>
                <w:lang w:val="en-AU"/>
              </w:rPr>
              <w:t>Manufacturers should be allowed to use their own precautionary statements in addition to the precautionary statements in the GHS, which should be non-binding suggestions.</w:t>
            </w:r>
          </w:p>
          <w:p w:rsidR="00FB4109" w:rsidRPr="00FB4109" w:rsidRDefault="00FB4109" w:rsidP="00FB4109">
            <w:pPr>
              <w:rPr>
                <w:rFonts w:ascii="Arial" w:eastAsia="Calibri" w:hAnsi="Arial" w:cs="Arial"/>
                <w:b/>
                <w:sz w:val="20"/>
                <w:szCs w:val="20"/>
              </w:rPr>
            </w:pPr>
          </w:p>
        </w:tc>
      </w:tr>
      <w:tr w:rsidR="00FB4109" w:rsidRPr="00FB4109" w:rsidTr="00EA12CF">
        <w:tc>
          <w:tcPr>
            <w:tcW w:w="9242" w:type="dxa"/>
          </w:tcPr>
          <w:p w:rsidR="00FB4109" w:rsidRPr="00FB4109" w:rsidRDefault="00FB4109" w:rsidP="00FB4109">
            <w:pPr>
              <w:rPr>
                <w:rFonts w:ascii="Arial" w:eastAsia="Calibri" w:hAnsi="Arial" w:cs="Arial"/>
                <w:sz w:val="20"/>
                <w:szCs w:val="20"/>
              </w:rPr>
            </w:pPr>
            <w:r w:rsidRPr="00FB4109">
              <w:rPr>
                <w:rFonts w:ascii="Arial" w:eastAsia="Calibri" w:hAnsi="Arial" w:cs="Arial"/>
                <w:sz w:val="20"/>
                <w:szCs w:val="20"/>
              </w:rPr>
              <w:t>If your economy has implemented GHS, is there any difference in expected cost prior to implementation and actual cost post-implementation of GHS?</w:t>
            </w:r>
          </w:p>
        </w:tc>
      </w:tr>
      <w:tr w:rsidR="00FB4109" w:rsidRPr="00FB4109" w:rsidTr="00EA12CF">
        <w:tc>
          <w:tcPr>
            <w:tcW w:w="9242" w:type="dxa"/>
          </w:tcPr>
          <w:p w:rsidR="00FB4109" w:rsidRPr="00FB4109" w:rsidRDefault="00FB4109" w:rsidP="00FB4109">
            <w:pPr>
              <w:rPr>
                <w:rFonts w:ascii="Arial" w:eastAsia="Calibri" w:hAnsi="Arial" w:cs="Arial"/>
                <w:sz w:val="20"/>
                <w:szCs w:val="20"/>
              </w:rPr>
            </w:pPr>
            <w:r w:rsidRPr="00FB4109">
              <w:rPr>
                <w:rFonts w:ascii="Arial" w:eastAsia="Calibri" w:hAnsi="Arial" w:cs="Arial"/>
                <w:sz w:val="20"/>
                <w:szCs w:val="20"/>
              </w:rPr>
              <w:t>The GHS has not yet been implemented by the CPSC in the U.S. for consumer products.</w:t>
            </w:r>
          </w:p>
        </w:tc>
      </w:tr>
      <w:tr w:rsidR="00FB4109" w:rsidRPr="00FB4109" w:rsidTr="00EA12CF">
        <w:tc>
          <w:tcPr>
            <w:tcW w:w="9242" w:type="dxa"/>
          </w:tcPr>
          <w:p w:rsidR="00FB4109" w:rsidRPr="00FB4109" w:rsidRDefault="00FB4109" w:rsidP="00FB4109">
            <w:pPr>
              <w:rPr>
                <w:rFonts w:ascii="Arial" w:eastAsia="Calibri" w:hAnsi="Arial" w:cs="Arial"/>
                <w:sz w:val="20"/>
                <w:szCs w:val="20"/>
              </w:rPr>
            </w:pPr>
            <w:r w:rsidRPr="00FB4109">
              <w:rPr>
                <w:rFonts w:ascii="Arial" w:eastAsia="Calibri" w:hAnsi="Arial" w:cs="Arial"/>
                <w:sz w:val="20"/>
                <w:szCs w:val="20"/>
              </w:rPr>
              <w:t>What are the expected benefits for industry through the implementation of GHS?</w:t>
            </w:r>
          </w:p>
        </w:tc>
      </w:tr>
      <w:tr w:rsidR="00FB4109" w:rsidRPr="00FB4109" w:rsidTr="00EA12CF">
        <w:tc>
          <w:tcPr>
            <w:tcW w:w="9242" w:type="dxa"/>
          </w:tcPr>
          <w:p w:rsidR="00FB4109" w:rsidRPr="00FB4109" w:rsidRDefault="00FB4109" w:rsidP="00FB4109">
            <w:pPr>
              <w:autoSpaceDE w:val="0"/>
              <w:autoSpaceDN w:val="0"/>
              <w:adjustRightInd w:val="0"/>
              <w:rPr>
                <w:rFonts w:ascii="Arial" w:eastAsia="Calibri" w:hAnsi="Arial" w:cs="Arial"/>
                <w:sz w:val="20"/>
                <w:szCs w:val="20"/>
                <w:lang w:val="en-AU"/>
              </w:rPr>
            </w:pPr>
            <w:r w:rsidRPr="00FB4109">
              <w:rPr>
                <w:rFonts w:ascii="Arial" w:eastAsia="Calibri" w:hAnsi="Arial" w:cs="Arial"/>
                <w:sz w:val="20"/>
                <w:szCs w:val="20"/>
              </w:rPr>
              <w:t>Expected benefits for industry through the implementation of GHS include:</w:t>
            </w:r>
          </w:p>
          <w:p w:rsidR="00FB4109" w:rsidRPr="00FB4109" w:rsidRDefault="00FB4109" w:rsidP="00FB4109">
            <w:pPr>
              <w:numPr>
                <w:ilvl w:val="0"/>
                <w:numId w:val="2"/>
              </w:numPr>
              <w:autoSpaceDE w:val="0"/>
              <w:autoSpaceDN w:val="0"/>
              <w:adjustRightInd w:val="0"/>
              <w:spacing w:after="200" w:line="276" w:lineRule="auto"/>
              <w:rPr>
                <w:rFonts w:ascii="Arial" w:eastAsia="Calibri" w:hAnsi="Arial" w:cs="Arial"/>
                <w:sz w:val="20"/>
                <w:szCs w:val="20"/>
                <w:lang w:val="en-AU"/>
              </w:rPr>
            </w:pPr>
            <w:r w:rsidRPr="00FB4109">
              <w:rPr>
                <w:rFonts w:ascii="Arial" w:eastAsia="Calibri" w:hAnsi="Arial" w:cs="Arial"/>
                <w:sz w:val="20"/>
                <w:szCs w:val="20"/>
                <w:lang w:val="en-AU"/>
              </w:rPr>
              <w:t xml:space="preserve">Internationally harmonized hazard classification and communication will lead to increased protection, especially as the new hazard pictograms become recognized.  </w:t>
            </w:r>
          </w:p>
          <w:p w:rsidR="00FB4109" w:rsidRPr="00FB4109" w:rsidRDefault="00FB4109" w:rsidP="00FB4109">
            <w:pPr>
              <w:numPr>
                <w:ilvl w:val="0"/>
                <w:numId w:val="2"/>
              </w:numPr>
              <w:autoSpaceDE w:val="0"/>
              <w:autoSpaceDN w:val="0"/>
              <w:adjustRightInd w:val="0"/>
              <w:spacing w:after="200" w:line="276" w:lineRule="auto"/>
              <w:rPr>
                <w:rFonts w:ascii="Arial" w:eastAsia="Calibri" w:hAnsi="Arial" w:cs="Arial"/>
                <w:sz w:val="20"/>
                <w:szCs w:val="20"/>
                <w:lang w:val="en-AU"/>
              </w:rPr>
            </w:pPr>
            <w:r w:rsidRPr="00FB4109">
              <w:rPr>
                <w:rFonts w:ascii="Arial" w:eastAsia="Calibri" w:hAnsi="Arial" w:cs="Arial"/>
                <w:sz w:val="20"/>
                <w:szCs w:val="20"/>
                <w:lang w:val="en-AU"/>
              </w:rPr>
              <w:t>Standardization will improve training and understanding of hazards.</w:t>
            </w:r>
          </w:p>
          <w:p w:rsidR="00FB4109" w:rsidRPr="00FB4109" w:rsidRDefault="00FB4109" w:rsidP="00FB4109">
            <w:pPr>
              <w:numPr>
                <w:ilvl w:val="0"/>
                <w:numId w:val="2"/>
              </w:numPr>
              <w:autoSpaceDE w:val="0"/>
              <w:autoSpaceDN w:val="0"/>
              <w:adjustRightInd w:val="0"/>
              <w:spacing w:after="200" w:line="276" w:lineRule="auto"/>
              <w:rPr>
                <w:rFonts w:ascii="Arial" w:eastAsia="Calibri" w:hAnsi="Arial" w:cs="Arial"/>
                <w:sz w:val="20"/>
                <w:szCs w:val="20"/>
                <w:lang w:val="en-AU"/>
              </w:rPr>
            </w:pPr>
            <w:r w:rsidRPr="00FB4109">
              <w:rPr>
                <w:rFonts w:ascii="Arial" w:eastAsia="Calibri" w:hAnsi="Arial" w:cs="Arial"/>
                <w:sz w:val="20"/>
                <w:szCs w:val="20"/>
                <w:lang w:val="en-AU"/>
              </w:rPr>
              <w:t xml:space="preserve">Consistent information will improve downstream hazard assessment activities. </w:t>
            </w:r>
          </w:p>
          <w:p w:rsidR="00FB4109" w:rsidRPr="00FB4109" w:rsidRDefault="00FB4109" w:rsidP="00FB4109">
            <w:pPr>
              <w:rPr>
                <w:rFonts w:ascii="Arial" w:eastAsia="Calibri" w:hAnsi="Arial" w:cs="Arial"/>
                <w:sz w:val="20"/>
                <w:szCs w:val="20"/>
              </w:rPr>
            </w:pPr>
          </w:p>
          <w:p w:rsidR="00FB4109" w:rsidRPr="00FB4109" w:rsidRDefault="00FB4109" w:rsidP="00FB4109">
            <w:pPr>
              <w:autoSpaceDE w:val="0"/>
              <w:autoSpaceDN w:val="0"/>
              <w:adjustRightInd w:val="0"/>
              <w:rPr>
                <w:rFonts w:ascii="Arial" w:eastAsia="Calibri" w:hAnsi="Arial" w:cs="Arial"/>
                <w:sz w:val="20"/>
                <w:szCs w:val="20"/>
                <w:lang w:val="en-AU"/>
              </w:rPr>
            </w:pPr>
            <w:r w:rsidRPr="00FB4109">
              <w:rPr>
                <w:rFonts w:ascii="Arial" w:eastAsia="Calibri" w:hAnsi="Arial" w:cs="Arial"/>
                <w:sz w:val="20"/>
                <w:szCs w:val="20"/>
                <w:lang w:val="en-AU"/>
              </w:rPr>
              <w:t>The following activities are needed to reduce the potential risks of not achieving the benefits:</w:t>
            </w:r>
          </w:p>
          <w:p w:rsidR="00FB4109" w:rsidRPr="00FB4109" w:rsidRDefault="00FB4109" w:rsidP="00FB4109">
            <w:pPr>
              <w:numPr>
                <w:ilvl w:val="0"/>
                <w:numId w:val="2"/>
              </w:numPr>
              <w:autoSpaceDE w:val="0"/>
              <w:autoSpaceDN w:val="0"/>
              <w:adjustRightInd w:val="0"/>
              <w:spacing w:after="200" w:line="276" w:lineRule="auto"/>
              <w:rPr>
                <w:rFonts w:ascii="Arial" w:eastAsia="Calibri" w:hAnsi="Arial" w:cs="Arial"/>
                <w:sz w:val="20"/>
                <w:szCs w:val="20"/>
                <w:lang w:val="en-AU"/>
              </w:rPr>
            </w:pPr>
            <w:r w:rsidRPr="00FB4109">
              <w:rPr>
                <w:rFonts w:ascii="Arial" w:eastAsia="Calibri" w:hAnsi="Arial" w:cs="Arial"/>
                <w:sz w:val="20"/>
                <w:szCs w:val="20"/>
                <w:lang w:val="en-AU"/>
              </w:rPr>
              <w:t xml:space="preserve">Benefits will accrue if the GHS is implemented comprehensively and consistently across industries on a global basis.  </w:t>
            </w:r>
          </w:p>
          <w:p w:rsidR="00FB4109" w:rsidRPr="00FB4109" w:rsidRDefault="00FB4109" w:rsidP="00FB4109">
            <w:pPr>
              <w:numPr>
                <w:ilvl w:val="0"/>
                <w:numId w:val="2"/>
              </w:numPr>
              <w:autoSpaceDE w:val="0"/>
              <w:autoSpaceDN w:val="0"/>
              <w:adjustRightInd w:val="0"/>
              <w:spacing w:after="200" w:line="276" w:lineRule="auto"/>
              <w:rPr>
                <w:rFonts w:ascii="Arial" w:eastAsia="Calibri" w:hAnsi="Arial" w:cs="Arial"/>
                <w:sz w:val="20"/>
                <w:szCs w:val="20"/>
                <w:lang w:val="en-AU"/>
              </w:rPr>
            </w:pPr>
            <w:r w:rsidRPr="00FB4109">
              <w:rPr>
                <w:rFonts w:ascii="Arial" w:eastAsia="Calibri" w:hAnsi="Arial" w:cs="Arial"/>
                <w:sz w:val="20"/>
                <w:szCs w:val="20"/>
                <w:lang w:val="en-AU"/>
              </w:rPr>
              <w:t>Governments should work closely with each other to ensure alignment to the UN endorsed version of the GHS and to minimize country-specific deviations.</w:t>
            </w:r>
          </w:p>
          <w:p w:rsidR="00FB4109" w:rsidRPr="00FB4109" w:rsidRDefault="00FB4109" w:rsidP="00FB4109">
            <w:pPr>
              <w:numPr>
                <w:ilvl w:val="0"/>
                <w:numId w:val="2"/>
              </w:numPr>
              <w:autoSpaceDE w:val="0"/>
              <w:autoSpaceDN w:val="0"/>
              <w:adjustRightInd w:val="0"/>
              <w:spacing w:after="200" w:line="276" w:lineRule="auto"/>
              <w:rPr>
                <w:rFonts w:ascii="Arial" w:eastAsia="Calibri" w:hAnsi="Arial" w:cs="Arial"/>
                <w:sz w:val="20"/>
                <w:szCs w:val="20"/>
                <w:lang w:val="en-AU"/>
              </w:rPr>
            </w:pPr>
            <w:r w:rsidRPr="00FB4109">
              <w:rPr>
                <w:rFonts w:ascii="Arial" w:eastAsia="Calibri" w:hAnsi="Arial" w:cs="Arial"/>
                <w:sz w:val="20"/>
                <w:szCs w:val="20"/>
                <w:lang w:val="en-AU"/>
              </w:rPr>
              <w:t>Manufacturers should be allowed to use their own precautionary statements in addition to the precautionary statements in the GHS, which should be non-binding suggestions.</w:t>
            </w:r>
          </w:p>
          <w:p w:rsidR="00FB4109" w:rsidRPr="00FB4109" w:rsidRDefault="00FB4109" w:rsidP="00FB4109">
            <w:pPr>
              <w:rPr>
                <w:rFonts w:ascii="Arial" w:eastAsia="Calibri" w:hAnsi="Arial" w:cs="Arial"/>
                <w:sz w:val="20"/>
                <w:szCs w:val="20"/>
              </w:rPr>
            </w:pPr>
          </w:p>
          <w:p w:rsidR="00FB4109" w:rsidRPr="00FB4109" w:rsidRDefault="00FB4109" w:rsidP="00FB4109">
            <w:pPr>
              <w:autoSpaceDE w:val="0"/>
              <w:autoSpaceDN w:val="0"/>
              <w:adjustRightInd w:val="0"/>
              <w:rPr>
                <w:rFonts w:ascii="Arial" w:eastAsia="Calibri" w:hAnsi="Arial" w:cs="Arial"/>
                <w:sz w:val="20"/>
                <w:szCs w:val="20"/>
              </w:rPr>
            </w:pPr>
            <w:r w:rsidRPr="00FB4109">
              <w:rPr>
                <w:rFonts w:ascii="Arial" w:eastAsia="Calibri" w:hAnsi="Arial" w:cs="Arial"/>
                <w:sz w:val="20"/>
                <w:szCs w:val="20"/>
              </w:rPr>
              <w:t>Important current impediments to harmonization include:</w:t>
            </w:r>
          </w:p>
          <w:p w:rsidR="00FB4109" w:rsidRPr="00FB4109" w:rsidRDefault="00FB4109" w:rsidP="00FB4109">
            <w:pPr>
              <w:numPr>
                <w:ilvl w:val="0"/>
                <w:numId w:val="3"/>
              </w:numPr>
              <w:autoSpaceDE w:val="0"/>
              <w:autoSpaceDN w:val="0"/>
              <w:adjustRightInd w:val="0"/>
              <w:spacing w:after="200" w:line="276" w:lineRule="auto"/>
              <w:rPr>
                <w:rFonts w:ascii="Arial" w:eastAsia="Calibri" w:hAnsi="Arial" w:cs="Arial"/>
                <w:sz w:val="20"/>
                <w:szCs w:val="20"/>
              </w:rPr>
            </w:pPr>
            <w:r w:rsidRPr="00FB4109">
              <w:rPr>
                <w:rFonts w:ascii="Arial" w:eastAsia="Calibri" w:hAnsi="Arial" w:cs="Arial"/>
                <w:sz w:val="20"/>
                <w:szCs w:val="20"/>
              </w:rPr>
              <w:t xml:space="preserve">The differences in GHS mixture classification cutoff values/thresholds between countries; (It might be useful to convene a working group to look at the possibility of providing harmonized </w:t>
            </w:r>
            <w:r w:rsidRPr="00FB4109">
              <w:rPr>
                <w:rFonts w:ascii="Arial" w:eastAsia="Calibri" w:hAnsi="Arial" w:cs="Arial"/>
                <w:sz w:val="20"/>
                <w:szCs w:val="20"/>
              </w:rPr>
              <w:lastRenderedPageBreak/>
              <w:t>GHS mixture classification cutoff values/thresholds.)</w:t>
            </w:r>
          </w:p>
          <w:p w:rsidR="00FB4109" w:rsidRPr="00FB4109" w:rsidRDefault="00FB4109" w:rsidP="00FB4109">
            <w:pPr>
              <w:numPr>
                <w:ilvl w:val="0"/>
                <w:numId w:val="3"/>
              </w:numPr>
              <w:autoSpaceDE w:val="0"/>
              <w:autoSpaceDN w:val="0"/>
              <w:adjustRightInd w:val="0"/>
              <w:spacing w:after="200" w:line="276" w:lineRule="auto"/>
              <w:rPr>
                <w:rFonts w:ascii="Arial" w:eastAsia="Calibri" w:hAnsi="Arial" w:cs="Arial"/>
                <w:sz w:val="20"/>
                <w:szCs w:val="20"/>
              </w:rPr>
            </w:pPr>
            <w:r w:rsidRPr="00FB4109">
              <w:rPr>
                <w:rFonts w:ascii="Arial" w:eastAsia="Calibri" w:hAnsi="Arial" w:cs="Arial"/>
                <w:sz w:val="20"/>
                <w:szCs w:val="20"/>
              </w:rPr>
              <w:t>Different interpretations of how to apply the GHS classification criteria to UVCBs;</w:t>
            </w:r>
          </w:p>
          <w:p w:rsidR="00FB4109" w:rsidRPr="00FB4109" w:rsidRDefault="00FB4109" w:rsidP="00FB4109">
            <w:pPr>
              <w:autoSpaceDE w:val="0"/>
              <w:autoSpaceDN w:val="0"/>
              <w:adjustRightInd w:val="0"/>
              <w:rPr>
                <w:rFonts w:ascii="Arial" w:eastAsia="Calibri" w:hAnsi="Arial" w:cs="Arial"/>
                <w:b/>
                <w:sz w:val="20"/>
                <w:szCs w:val="20"/>
              </w:rPr>
            </w:pPr>
          </w:p>
        </w:tc>
      </w:tr>
      <w:tr w:rsidR="00FB4109" w:rsidRPr="00FB4109" w:rsidTr="00EA12CF">
        <w:tc>
          <w:tcPr>
            <w:tcW w:w="9242" w:type="dxa"/>
          </w:tcPr>
          <w:p w:rsidR="00FB4109" w:rsidRPr="00FB4109" w:rsidRDefault="00FB4109" w:rsidP="00FB4109">
            <w:pPr>
              <w:autoSpaceDE w:val="0"/>
              <w:autoSpaceDN w:val="0"/>
              <w:adjustRightInd w:val="0"/>
              <w:rPr>
                <w:rFonts w:ascii="Arial" w:eastAsia="Calibri" w:hAnsi="Arial" w:cs="Arial"/>
                <w:sz w:val="20"/>
                <w:szCs w:val="20"/>
                <w:highlight w:val="yellow"/>
              </w:rPr>
            </w:pPr>
            <w:r w:rsidRPr="00FB4109">
              <w:rPr>
                <w:rFonts w:ascii="Arial" w:eastAsia="Calibri" w:hAnsi="Arial" w:cs="Arial"/>
                <w:sz w:val="20"/>
                <w:szCs w:val="20"/>
              </w:rPr>
              <w:lastRenderedPageBreak/>
              <w:t>If your economy has implemented GHS, is there a difference in expected benefits prior to implementation and actual benefits post-implementation of GHS?</w:t>
            </w:r>
          </w:p>
        </w:tc>
      </w:tr>
      <w:tr w:rsidR="00FB4109" w:rsidRPr="00FB4109" w:rsidTr="00EA12CF">
        <w:tc>
          <w:tcPr>
            <w:tcW w:w="9242" w:type="dxa"/>
          </w:tcPr>
          <w:p w:rsidR="00FB4109" w:rsidRPr="00FB4109" w:rsidRDefault="00FB4109" w:rsidP="00FB4109">
            <w:pPr>
              <w:autoSpaceDE w:val="0"/>
              <w:autoSpaceDN w:val="0"/>
              <w:adjustRightInd w:val="0"/>
              <w:rPr>
                <w:rFonts w:ascii="Arial" w:eastAsia="Calibri" w:hAnsi="Arial" w:cs="Arial"/>
                <w:sz w:val="20"/>
                <w:szCs w:val="20"/>
                <w:highlight w:val="yellow"/>
              </w:rPr>
            </w:pPr>
            <w:r w:rsidRPr="00FB4109">
              <w:rPr>
                <w:rFonts w:ascii="Arial" w:eastAsia="Calibri" w:hAnsi="Arial" w:cs="Arial"/>
                <w:sz w:val="20"/>
                <w:szCs w:val="20"/>
              </w:rPr>
              <w:t>The GHS has not yet been implemented by the CPSC in the U.S. for consumer products.</w:t>
            </w:r>
          </w:p>
        </w:tc>
      </w:tr>
    </w:tbl>
    <w:p w:rsidR="00FB4109" w:rsidRPr="00FB4109" w:rsidRDefault="00FB4109" w:rsidP="00FB4109"/>
    <w:p w:rsidR="00FB4109" w:rsidRDefault="00FB4109"/>
    <w:p w:rsidR="00FB4109" w:rsidRDefault="00FB4109"/>
    <w:p w:rsidR="00FB4109" w:rsidRDefault="00FB4109"/>
    <w:p w:rsidR="00FB4109" w:rsidRDefault="00FB4109"/>
    <w:p w:rsidR="00FB4109" w:rsidRDefault="00FB4109"/>
    <w:p w:rsidR="00FB4109" w:rsidRDefault="00FB4109"/>
    <w:p w:rsidR="00FB4109" w:rsidRDefault="00FB4109"/>
    <w:sectPr w:rsidR="00FB410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441" w:rsidRDefault="00237441" w:rsidP="00FB4109">
      <w:r>
        <w:separator/>
      </w:r>
    </w:p>
  </w:endnote>
  <w:endnote w:type="continuationSeparator" w:id="0">
    <w:p w:rsidR="00237441" w:rsidRDefault="00237441" w:rsidP="00FB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0141434"/>
      <w:docPartObj>
        <w:docPartGallery w:val="Page Numbers (Bottom of Page)"/>
        <w:docPartUnique/>
      </w:docPartObj>
    </w:sdtPr>
    <w:sdtEndPr>
      <w:rPr>
        <w:noProof/>
      </w:rPr>
    </w:sdtEndPr>
    <w:sdtContent>
      <w:p w:rsidR="00FB4109" w:rsidRDefault="00FB4109">
        <w:pPr>
          <w:pStyle w:val="Footer"/>
          <w:jc w:val="center"/>
        </w:pPr>
        <w:r>
          <w:fldChar w:fldCharType="begin"/>
        </w:r>
        <w:r>
          <w:instrText xml:space="preserve"> PAGE   \* MERGEFORMAT </w:instrText>
        </w:r>
        <w:r>
          <w:fldChar w:fldCharType="separate"/>
        </w:r>
        <w:r w:rsidR="0012448C">
          <w:rPr>
            <w:noProof/>
          </w:rPr>
          <w:t>3</w:t>
        </w:r>
        <w:r>
          <w:rPr>
            <w:noProof/>
          </w:rPr>
          <w:fldChar w:fldCharType="end"/>
        </w:r>
      </w:p>
    </w:sdtContent>
  </w:sdt>
  <w:p w:rsidR="00FB4109" w:rsidRDefault="00FB41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441" w:rsidRDefault="00237441" w:rsidP="00FB4109">
      <w:r>
        <w:separator/>
      </w:r>
    </w:p>
  </w:footnote>
  <w:footnote w:type="continuationSeparator" w:id="0">
    <w:p w:rsidR="00237441" w:rsidRDefault="00237441" w:rsidP="00FB41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9366C"/>
    <w:multiLevelType w:val="hybridMultilevel"/>
    <w:tmpl w:val="0DE0CD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3C848FF"/>
    <w:multiLevelType w:val="hybridMultilevel"/>
    <w:tmpl w:val="D85A95DE"/>
    <w:lvl w:ilvl="0" w:tplc="53463BB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D941974"/>
    <w:multiLevelType w:val="hybridMultilevel"/>
    <w:tmpl w:val="481A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109"/>
    <w:rsid w:val="0012448C"/>
    <w:rsid w:val="001D6395"/>
    <w:rsid w:val="00237441"/>
    <w:rsid w:val="00385A1E"/>
    <w:rsid w:val="005F6D34"/>
    <w:rsid w:val="00731EEA"/>
    <w:rsid w:val="008278A7"/>
    <w:rsid w:val="00955E1F"/>
    <w:rsid w:val="00E35188"/>
    <w:rsid w:val="00E90D77"/>
    <w:rsid w:val="00FB4109"/>
    <w:rsid w:val="00FC0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66DC0E-BCA5-495E-8F8B-244530F14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4109"/>
    <w:pPr>
      <w:tabs>
        <w:tab w:val="center" w:pos="4680"/>
        <w:tab w:val="right" w:pos="9360"/>
      </w:tabs>
    </w:pPr>
  </w:style>
  <w:style w:type="character" w:customStyle="1" w:styleId="HeaderChar">
    <w:name w:val="Header Char"/>
    <w:basedOn w:val="DefaultParagraphFont"/>
    <w:link w:val="Header"/>
    <w:uiPriority w:val="99"/>
    <w:rsid w:val="00FB4109"/>
  </w:style>
  <w:style w:type="paragraph" w:styleId="Footer">
    <w:name w:val="footer"/>
    <w:basedOn w:val="Normal"/>
    <w:link w:val="FooterChar"/>
    <w:uiPriority w:val="99"/>
    <w:unhideWhenUsed/>
    <w:rsid w:val="00FB4109"/>
    <w:pPr>
      <w:tabs>
        <w:tab w:val="center" w:pos="4680"/>
        <w:tab w:val="right" w:pos="9360"/>
      </w:tabs>
    </w:pPr>
  </w:style>
  <w:style w:type="character" w:customStyle="1" w:styleId="FooterChar">
    <w:name w:val="Footer Char"/>
    <w:basedOn w:val="DefaultParagraphFont"/>
    <w:link w:val="Footer"/>
    <w:uiPriority w:val="99"/>
    <w:rsid w:val="00FB4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5463</Characters>
  <Application>Microsoft Office Word</Application>
  <DocSecurity>0</DocSecurity>
  <Lines>118</Lines>
  <Paragraphs>24</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6299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dc:creator>
  <cp:lastModifiedBy>Catherine Oh</cp:lastModifiedBy>
  <cp:revision>2</cp:revision>
  <dcterms:created xsi:type="dcterms:W3CDTF">2017-01-26T23:41:00Z</dcterms:created>
  <dcterms:modified xsi:type="dcterms:W3CDTF">2017-01-26T23:41:00Z</dcterms:modified>
</cp:coreProperties>
</file>